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1F84" w14:textId="77777777" w:rsidR="00075D73" w:rsidRPr="00336540" w:rsidRDefault="00075D73" w:rsidP="00075D7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7: Дизайн – неотъемлемая часть современной культуры</w:t>
      </w:r>
    </w:p>
    <w:p w14:paraId="1E0116F2" w14:textId="3809DB1A" w:rsidR="00C620EC" w:rsidRDefault="00C620EC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Феномен дизайна являясь специфическим видом человеческой деятельности, направленным на совершенствование </w:t>
      </w:r>
      <w:proofErr w:type="gramStart"/>
      <w:r w:rsidR="009A1FF9" w:rsidRPr="00336540">
        <w:rPr>
          <w:rFonts w:ascii="Times New Roman" w:hAnsi="Times New Roman" w:cs="Times New Roman"/>
          <w:sz w:val="28"/>
          <w:szCs w:val="28"/>
          <w:lang w:val="ru-RU"/>
        </w:rPr>
        <w:t>предметно пространственной среды</w:t>
      </w:r>
      <w:proofErr w:type="gram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сформировался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начале XX столетия как отклик на изменение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культуре европейских стран. [2] Отталкиваясь от идеи преобразования окружающего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мира, дизайн всегда находится в противоречии: с одной стороны желания заказчика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конечного потребителя, с другой стороны -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интересы маркетинга и производителя.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Дизайн как метод, процесс и художественно-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техническое проектирование промышленных изделий, тесно связан с изменениями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культуре в целом и в культуре повседневности в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частности. Серийный характер производства дизайн-объектов также указывает на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принадлежность явления к массовой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популярной культуре.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Целью исследования является выявление взаимосвязи культуры повседневности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дизайна. Для достижения цели в статье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рассматриваются следующие вопросы: научные подходы к изучению культуры повседневности, массовая культура как часть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культуры повседневности, роль вещи в культуре повседневности, дизайн в структуре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повседневности.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Говоря про актуальные характеристики повседневной культуры «современности», мы подразумеваем временной отрезок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с 2000-го года по наши дни. 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14:paraId="61AD9136" w14:textId="12E5865A" w:rsidR="00444530" w:rsidRPr="00336540" w:rsidRDefault="00C620EC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Для обозначенного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периода характерна динамичность и текучесть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развития социума.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Направление к упорядочению и самоорганизации частей системы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из состояния хаоса наблюдается в различных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сферах человеческой деятельности и, в </w:t>
      </w:r>
      <w:proofErr w:type="gram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част-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ности</w:t>
      </w:r>
      <w:proofErr w:type="spellEnd"/>
      <w:proofErr w:type="gram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в дизайне. Мы можем заметить, что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анализ развития общества предполагает под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собой междисциплинарный подход и порой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нетривиальный результат.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Еще в начале 2000-х такие явления как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мобильный телефон, интернет и электронные книги были чем-то неординарным, зачастую труднодоступным обычному городскому жителю.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Сегодня, спустя два десятилетия, подобные явления и вещи незаменимы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для нас в учебе, работе и даже быту, что стало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особенно очевидно в условиях недавней пандемии коронавируса. Вместе с новшествами,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приходящими в нашу жизнь, подвергаются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трансформации наши привычки, принцип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действий, способы и средства получения информации, следовательно, трансформируется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культура повседневности. Материальная культура и, в частности, объекты дизайна являются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данном случае как частью системы идей,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виде концепций, так и результатом.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Глобально, дизайн окружающих нас вещей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можно разделить на две больших категории: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 первой будут относиться объекты элитарной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культуры, выпущенные малыми тиражами или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вовсе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сделаные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на заказ, являющиеся скорее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искусством; ко второй категории можно отнести утилитарные предметы, выпускаемые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крупными партиями, относящиеся к массовой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культуре. Роль и место таких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повсеместно распространенных вещей в современной культуре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требует более детального изучения.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Культура повседневности имеет множество определений. Рассмотрим подходы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 изучению данного феномена во временном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промежутке от второй половины ХХ века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до наших дней. На протяжении долгого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пе</w:t>
      </w:r>
      <w:proofErr w:type="spellEnd"/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риода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в отечественной науке, существовала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концепция, в которой было принято относить к культуре только часть человеческой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деятельности, направленную на совершенствование и развитие человека. Материальное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социальное «тело» оставалось за рамками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культуры, часто критиковалось, эти аспекты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характеризовали как цивилизацию. Такой</w:t>
      </w:r>
      <w:r w:rsidR="00DE6691" w:rsidRPr="00336540">
        <w:rPr>
          <w:rFonts w:ascii="Times New Roman" w:hAnsi="Times New Roman" w:cs="Times New Roman"/>
          <w:sz w:val="28"/>
          <w:szCs w:val="28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подход, в частности, характерен для выдающегося отечественного мыслителя В.М.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Межуева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: критикуя культуру, создаваемую капитализмом, исследователь говорит о том,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что «…именно вещи оказались в буржуазном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обществе «мерой» человека», «…сама культура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перестает рассматриваться здесь как выражение духовной развитости индивида, творческой наполненности и осмысленности его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жизни…». [6] Согласно обозначенной идее,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одной стороны, четко определяется функция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культуры как стремления к нравственному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духовному идеалу, но с другой, исследователи оставляют за рамками или критикуют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более широкие, зачастую связанные с материальностью сферы жизни и деятельности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пространстве культуры (быт, повседневность, массовая культура и т.д.).</w:t>
      </w:r>
      <w:r w:rsidR="0044453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1C1C7F" w14:textId="6CB7B765" w:rsidR="00DE6691" w:rsidRPr="00336540" w:rsidRDefault="00444530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Для современного культурологического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знания актуален тезаурусный подход к характеристике культуры, представленный такими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исследователями как: М.В. Луков,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Вал.А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. Луков,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Вл.А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. Луков и Т.Ф. Кузнецова. М.В. Луков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исследовании «Культура повседневности»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проводит черту между обыденной и повседневной культурой: «под «обыденной культурой» логично понимать ту сферу культурной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жизни, которая связана с бытом и обыденным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сознанием. Под «культурой повседневности»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- весь объем культуры, актуализированной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человеческой жизнедеятельности сегодняшнего дня, здесь и сейчас.» [4] Обыденная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культура, по мнению исследователя, заключена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словах, жестах и действиях, часто доведенных до автоматизма. В свою очередь, культура повседневности, вбирая в себя всё то, чем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живет и интересуется человек, транслируется преимущественно с помощью масс-медиа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(телевидение, интернет, печатные издания).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свою очередь Л.В. Кошман, в контексте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истории культуры характеризует культуру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повседневности, как неделимый мир </w:t>
      </w:r>
      <w:proofErr w:type="gram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социо-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культурных</w:t>
      </w:r>
      <w:proofErr w:type="gram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значений, смыслов и установок,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которые не подлежат сомнению и формируют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привычки поведения и мышления в общественной и частной (бытовой) жизни человека. [3]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Вальденфельс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отмечает динамичность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повседневности и вводит понятия «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оповседневнивания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Veralltaglichung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) и «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преодолевания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повседневности» (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Entalltaglichung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). [1]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явления становятся для нас обыкновенными в результате частого воспроизведения и напротив,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привычное утрачивает связь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повседневностью, если теряет актуальность,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 подвергается постепенному забвению. </w:t>
      </w:r>
      <w:proofErr w:type="gram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Так-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исследователь пишет о том, что культура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повседневности тесно связана с природой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«Изначально исходит из требований простого выживания» [1] и является первым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шагом на пути человека из естественного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культурное состояние. В ходе истории формы повседневной культуры усложнялись,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становились более изысканными, но связь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базовыми человеческими потребностями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сохраняется и сегодня.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Другая особенность культуры повседневности, заключается в том, что она не получила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институционального оформления, является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общедоступной и всепроникающей, вне зависимости от образования или уровня достатка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субъекта. Будучи городским жителем, можно быть непричастным ко многим отраслям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специализированной культуры (политической,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религиозной, художественной и т.д.), но едва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ли получится жить вне культуры повседневности. В связи с этим, можно говорить, что она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образует базу, на которой строится дальнейшее принятие культурных образцов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Базируясь на материальном уровне бытия,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культура повседневности вбирает в себя значительное количество ценностей и смыслов,</w:t>
      </w:r>
      <w:r w:rsidR="00DE6691" w:rsidRPr="00336540">
        <w:rPr>
          <w:rFonts w:ascii="Times New Roman" w:hAnsi="Times New Roman" w:cs="Times New Roman"/>
          <w:sz w:val="28"/>
          <w:szCs w:val="28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что описывается в монографии С.Т.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Махлиной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«Семиотика культуры повседневности».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Язык и сленг используемые нами каждый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день, окружающие нас объекты, одежда, дома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интерьеры всё это влияет не только на наше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физическое существование, но также на духовный аспект повседневной жизни: на мироощущение, понимание своего места в мире. [5]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Исходя из приведенных определений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характеристик повседневной культуры, мы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можем утверждать, что ее изучение тесно связано с бытовым и материальным уровнем бытия. Для повседневной культуры характерен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синтез разных сфер культуры, перманентно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присутствующих в нашей жизни и окружающих нас каждый день, а также синергетический характер. Несомненно, массовая культура также является неотъемлемой частью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культуры повседневности. Несмотря на то,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что повседневная культура базируется на бытовой жизни и имеет тесную связь с базовыми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человеческими потребностями, неотъемлемым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является и семиотический аспект обыденных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действий и предметов. Благодаря исследованиям повседневной культуры, существует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возможность детально рассмотреть уровень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функционирования современного общества,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частности через вещи и дизайн этих вещей.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Социально-гуманитарные науки придерживаются двух основных направлений</w:t>
      </w:r>
      <w:r w:rsidR="006E320D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изучении вещи в повседневной культуре.</w:t>
      </w:r>
    </w:p>
    <w:p w14:paraId="7383E76E" w14:textId="0640FCD2" w:rsidR="00DE6691" w:rsidRPr="00336540" w:rsidRDefault="006E320D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одной стороны, таких исследователей интересует содержание информации о социальных характеристиках, диалог элитарного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массового: вещь как статус-символ, элемент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стиля жизни или принадлежности к группе. Например,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Г.Маркузе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положение личности в обществе потребления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 способы контроля над индивидом с помощью искусственного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создания новых потребностей. Для обозначения крайней привязанности к накопительству и приобретению материальных объектов существует определение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«вещизм», оно «…обозначает страсть к вещам,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погоню за ними, причем не в философском,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а в обыденном смысле.» [12</w:t>
      </w:r>
      <w:proofErr w:type="gram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] С другой стороны</w:t>
      </w:r>
      <w:proofErr w:type="gram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комплекс повседневных вещей и характер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отношения пользователей к ним, позволяют исследователям приблизиться к пониманию не только цивилизационных (формальных) достижений определенной культуры,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но и ценностно-смысловых (содержательных)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особенностей данного общества, например,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таком контексте рассматривают вещи Р. Барт,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Ж.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Бодрийар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Ю.М. Лотман.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С.Т.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Махлина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в монографии «Семиотика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культуры повседневности» также отмечает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сосуществование аксиологической и практической функции в окружающих нас вещах. 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Определенная историческая эпоха и национальная культура всегда оставляют характерный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отпечаток на вещах, однако на сегодняшний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день отмечается сближение национальных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культур. [5] Разнообразие дизайнерских решений, с одной стороны, позволяет проявить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индивидуальность отдельному человеку,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но в глобальном контексте приводит к стандартизации. Повседневная жизнь, проявляемая через базовый набор вещей, становится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все более схожей в разных частях развитого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мира, несмотря на отличительные особенности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мировых культур. В частности, этому способствуют очень близкие стандарты эргономики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качества изделий, а также влияние принципов функционального и интернационального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стилей дизайна, вошедшие в массовую культуру во второй половине ХХ века.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Формированием стилистического образа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смысла вещей занимается дизайн. Философия и культурология, несомненно, рассматривают дизайн как средство преобразования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окружающего мира. Один из классических</w:t>
      </w:r>
      <w:r w:rsidR="00DE6691" w:rsidRPr="00336540">
        <w:rPr>
          <w:rFonts w:ascii="Times New Roman" w:hAnsi="Times New Roman" w:cs="Times New Roman"/>
          <w:sz w:val="28"/>
          <w:szCs w:val="28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DE6691" w:rsidRPr="00336540">
        <w:rPr>
          <w:rFonts w:ascii="Cambria Math" w:hAnsi="Cambria Math" w:cs="Cambria Math"/>
          <w:sz w:val="28"/>
          <w:szCs w:val="28"/>
          <w:lang w:val="ru-RU"/>
        </w:rPr>
        <w:t>⇒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Теория и история культуры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постулатов дизайна состоит в том, что эстетичная предметная среда существования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человека усовершенствует и гармонизирует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духовное состояние общества. Дизайн выполняет функции инструмента социокультурного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моделирования благодаря выработанному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этом виде профессионально-творческой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деятельности языку, с помощью которого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потребитель продуктов дизайна считывает,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сознательно или бессознательно, определенные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идеи и установки. [8] Говоря о роли дизайна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воздействии на личность и общество, отмечают неявный, зачастую неосознаваемый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потребителем характер влияния. [9] В данном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тексте мы рассматриваем дизайн с точки зрения результата художественно-проектной деятельности в виде физических промышленно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производимых объектов и предметов, а также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беспредметной, виртуальной среды.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утилитарно-функциональной точки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зрения хороший дизайн должен быть удобен настолько, что становится незаметен, он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 привлекает много внимания и гармонично вписывается в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пространство повседневности. Объекты хорошего дизайна удобны,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эргономичны, долговечны, соответствуют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принципам экологичности, демократичности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практически не зависят от модных тенденций и маркетинга. Влиятельный дизайнер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Филипп Старк, в начале 2000-х годов так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описал цель своей художественно-проектной деятельности – «убить дизайн». Смысл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выражения раскрывается в том, что главная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задача дизайнера – это создание высокохудожественных предметов доступных каждому.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Объекты дизайна, будь то светильник, стул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или соковыжималка по минимальной цене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должны и могут быть одинаково привлекательны как для состоятельных потребителей, так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для людей с низкими доходами, ведь дизайн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новые технологии позволяют довести качество сборки, материалы и художественный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образ практически до совершенства. [9] 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Несмотря на то, что схожие идеи транслируются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многими влиятельными дизайнерами начиная с середины ХХ века (Участники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Ульмской</w:t>
      </w:r>
      <w:proofErr w:type="spellEnd"/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школы, Дитер Рамс, Виктор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Папанек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 сегодняшний день, в условиях повсеместного распространения маркетинга и коммерции,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 рынке превалируют излишне яркие объекты дизайна, акцент делается на привлечение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максимального внимания потенциальных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покупателей. Упор в производстве таких товаров делается на эстетику, украшательство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максимальную экономическую выгоду продавца. Удовлетворение сиюминутного спроса –</w:t>
      </w:r>
      <w:r w:rsidR="00F87146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основная задача подобных изделий.</w:t>
      </w:r>
    </w:p>
    <w:p w14:paraId="6ED04174" w14:textId="4D44ED52" w:rsidR="00DE6691" w:rsidRPr="00336540" w:rsidRDefault="00F87146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Конечно, нельзя сбрасывать со счетов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желания заказчика и конечного потребителя, однако, как правило, они касаются формальных и эстетических категорий конечного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продукта, что мало затрагивает фундаментальную дизайнерскую идею. Это ведет к потере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качества объекта, он быстро выходит из моды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и, соответственно, ненадолго задерживается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нашей повседневности. Такие объекты не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вызывают эмоциональной привязки и редко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соответствуют принципам экологии и гуманизма. Однако все мы подвержены влиянию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маркетинга, инструменты и технологии которого постоянно развиваются. [11]</w:t>
      </w:r>
    </w:p>
    <w:p w14:paraId="451C5174" w14:textId="4B9F9050" w:rsidR="00DE6691" w:rsidRPr="00336540" w:rsidRDefault="00F87146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Ярким примером является резкая,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протестная смена стилей, происходившая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60-е-70-е года ХХ века в западных странах.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послевоенное время Европейские дизайнеры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продолжали развивать идеи функционализма, выработанные еще в 30-е годы. Минималистичный и чистый стиль, опирающийся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 естественные текстуры материалов, взаимосвязь формы и содержания характерен для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европейских и американских мастеров (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Ульмская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школа, Супруги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Имз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Людвиг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Мис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дер</w:t>
      </w:r>
      <w:r w:rsidR="00DE6691" w:rsidRPr="00336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Роэ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Ээро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Саариен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Вальтер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Гроппиус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Арне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Якобсен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и др.). Подобные аутентичные, законченные произведения дизайна укоренились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массовой культуре того времени. Однако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конце 60-х годов, при активном развитии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экономики, выросла и индустрия изделий-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имитаций, они были похожи, но сильно уступали по функциональным и эстетическим качествам товарам “Good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design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(хорошего дизайна). Это был один из аспектов, вызвавших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возмущение в интеллектуальной молодежной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среде и, как следствие, начала зарождаться волна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антидизайна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и постмодернизма, черпающая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идеи из поп культуры и поп арта, сместившая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вектор с утилитарно-функционального значения дизайна на социокультурный.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подтверждение вынесенных выше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идей, приведем важный тезис о положении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дизайн-объектов в структуре повседневной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жизни из текста «О положении вещей. Малая философия дизайна» Виллема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Флюссера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качестве примера исследователь описывает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авторучку, ценность материала и изготовления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(затраченного труда) которой на сегодняшний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день ничтожно малы, однако единственное,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что придает ручкам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ценность — это их изначальный аутентичный дизайн, объединивший в себе выдающиеся идеи науки, искусства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экономики. Эта вещь и ее основная функция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так прочно вошли в нашу повседневность,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что мы не удостаиваем и малейшим вниманием стоящие за ней идеи. [10]. Авторучка,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как дизайн-объект подталкивает нас к ряду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размышлений о дизайне, маркетинге и статусе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её владельца: в основе любой ручки стержень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чернилами, что является ее функциональной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основой, сутью и составляет незначительную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стоимость, однако оболочка и упаковка такого предмета могут достигать цены сложного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технического объекта, при сохранении той же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функции – оставлять след чернил на бумаге.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Таким образом, аутентичный дизайн шариковой ручки остается неизменным уже более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века, однако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квазидизайн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или «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стайлинг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направленный на украшение, маркетинговую выгоду, привлечение внимания, меняется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постоянно, являясь дополнительной опцией, не влияющей на суть предмета. Отсюда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складывается вывод, что дизайн большинства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окружающих нас вещей полноценно сложился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 сегодняшний день, имеет законченный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вид, однако погоня за статусом или эстетикой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 стороны потребителя и за экономической</w:t>
      </w:r>
      <w:r w:rsidR="0008633C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выгодой со стороны продавца продолжает</w:t>
      </w:r>
      <w:r w:rsidR="0008633C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подпитывать</w:t>
      </w:r>
      <w:r w:rsidR="0008633C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индустрию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квазидизайна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08633C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свою очередь ведет к созданию избыточных</w:t>
      </w:r>
      <w:r w:rsidR="0008633C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тиражей продукции.</w:t>
      </w:r>
    </w:p>
    <w:p w14:paraId="56564701" w14:textId="6E057733" w:rsidR="00DE6691" w:rsidRPr="00336540" w:rsidRDefault="0008633C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Проблема перепроизводства и экологии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волнует дизайнеров и исследователей самых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разных областей с конца 60-х годов ХХ века.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Актуальный дизайн сегодня немыслим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без принципов ответственного потребления,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ставшими в современном мире одним из обязательных направлений для массового бренда.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России идеи в этом направлении транслирует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как массовый ритейл, занимающийся одеждой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мебелью (</w:t>
      </w:r>
      <w:r w:rsidR="00DE6691" w:rsidRPr="0033654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="00DE6691" w:rsidRPr="0033654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691" w:rsidRPr="00336540">
        <w:rPr>
          <w:rFonts w:ascii="Times New Roman" w:hAnsi="Times New Roman" w:cs="Times New Roman"/>
          <w:sz w:val="28"/>
          <w:szCs w:val="28"/>
          <w:lang w:val="en-US"/>
        </w:rPr>
        <w:t>UNIQLO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691" w:rsidRPr="00336540"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691" w:rsidRPr="00336540">
        <w:rPr>
          <w:rFonts w:ascii="Times New Roman" w:hAnsi="Times New Roman" w:cs="Times New Roman"/>
          <w:sz w:val="28"/>
          <w:szCs w:val="28"/>
          <w:lang w:val="en-US"/>
        </w:rPr>
        <w:t>IKEA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), так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 продуктовые сети (X5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retail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Вкусвилл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Ашан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т.д.). Этот тренд в маркетинге и дизайне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безусловно становится культурной нормой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повседневности и является примером того,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что мода – это не всегда кричащие заголовки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 яркие цвета. Раздельный сбор мусора, повторное использование, сознательное потребление – безусловно «чистые»,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этически правильные тренды, устойчиво вошедшие в нашу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жизнь, однако все это актуально для развитых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стран с сильной экономикой.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Стоит отметить, что дизайн для стран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невысоким уровнем развития будет существенно отличаться. Так, например, не имеет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смысла строить в бедных районах Африки</w:t>
      </w:r>
      <w:r w:rsidR="00DE6691" w:rsidRPr="00336540">
        <w:rPr>
          <w:rFonts w:ascii="Times New Roman" w:hAnsi="Times New Roman" w:cs="Times New Roman"/>
          <w:sz w:val="28"/>
          <w:szCs w:val="28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торговые центры и продавать там сложную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современную технику, здесь необходимы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базовые и дешевые средства выживания –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быстровозводимое жильё, мобильные медицинские пункты, дешевые средства связи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т.д. Пример дизайнерского изобретения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для небогатых стран описан Виктором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Папанеком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в книге «Дизайн для реального мира». Автор самостоятельно разработал радио, которое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можно собрать из подручных средств: консервной банки, пары гвоздей и проволоки. Схемы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создания такого радиоприемника распространялись бесплатно. Интересно отметить, что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 временем антропологи стали находить такие радиоприемники, украшенные росписями, бусинами, цветными камнями и нитками.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[7] Подобное визуальное совершенствование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утилитарных объектов, может говорить о двух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аспектах: с одной стороны – желание выделить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практическую и семиотическую значимость,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другой стороны, необходимость наделить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предмет индивидуальными эстетическими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характеристиками, чтобы обозначить принадлежность и сделать его более привлекательным.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Запрос на дизайн вещей первой необходимости не теряет актуальности. Как и 50 лет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назад, сегодня по-прежнему существует необходимость смены вектора дизайнерской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деятельности с обслуживания маркетинга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на «реальный мир» и описываемое Виктором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Папанеком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большинство, формируемое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из меньшинств (малоимущие, инвалиды, люди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трудных жизненных ситуациях и др.). Сегодня технологии позволяют создавать подобные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дизайн-объекты с помощью 3д печати, которая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 каждым годом становится всё доступнее.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Говоря о современных разработках в контексте повседневности невозможно обойти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стороной ставшее привычным виртуальное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пространство. Так, например, Виллем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Флюссер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рассматривая современную нам повседневную культуру говорит о постепенном отделении понятия материи от понятия объекта: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социальные сети, компьютерные программы,</w:t>
      </w:r>
      <w:r w:rsidR="00082BA8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«софт», обобщенно определяемые как «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невещи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». Несмотря на нематериальность подобных</w:t>
      </w:r>
      <w:r w:rsidR="000C70E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объектов, говорится о более ответственном</w:t>
      </w:r>
      <w:r w:rsidR="000C70E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подходе к их</w:t>
      </w:r>
      <w:r w:rsidR="000C70E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оформлению (со стороны программистов и дизайнеров). Отделяясь 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>от физических объектов,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дизайн не становится менее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реальным, а наоборот крепче укореняется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нашу привычную жизнь. [10] Если большинство предметов реального мира уже приобрели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свой аутентичный, базовый дизайн, то мир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«не-вещей» продолжает совершенствоваться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расширять границы возможностей.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Помимо виртуальных технологий,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 сегодняшний день развивается большое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количество сложных научных процессов,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формирующих симбиоз с дизайном: микро-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макро-технологии, автоматизированные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биологические процессы (опыление, обработка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почвы,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регулирование микроклимата) и другое. Большинство подобных технологий находятся на стадии эксперимента и разработки,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следовательно являются недоступными для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рядового пользователя, несмотря на большой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потенциал. В повседневную практику, однако,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все увереннее входит уже упомянутая нами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технология 3д печати, в которой преуспевают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отечественные разработчики: данная технология активно используется в авиационной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космической областях, в машиностроении,</w:t>
      </w:r>
      <w:r w:rsidR="00336540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медицине, а также в бытовых нуждах.</w:t>
      </w:r>
    </w:p>
    <w:p w14:paraId="65F6496B" w14:textId="2A55B430" w:rsidR="00415E6B" w:rsidRPr="00336540" w:rsidRDefault="00336540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Рассмотрение культуры повседневности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через вещи может многое рассказать о жизни,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привычках и актуальных ценностях общества, принципах ежедневного цикличного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поведения. Несмотря на кажущуюся простоту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обыденность повседневности, она вовсе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 толерантна к некачественным вещам, у нее</w:t>
      </w:r>
      <w:r w:rsidR="00DE6691" w:rsidRPr="00336540">
        <w:rPr>
          <w:rFonts w:ascii="Times New Roman" w:hAnsi="Times New Roman" w:cs="Times New Roman"/>
          <w:sz w:val="28"/>
          <w:szCs w:val="28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высокий ценз. Объекты дизайна, окружающие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нас в пространстве повседневной культуры,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проходят постоянную сверку с внутренним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камертоном принятия в повседневность,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лишь объекты дизайна, органично в нее вписывающиеся могут считаться действительно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выдающимися.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Таким образом, на сегодняшний день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“Good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design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” (хороший дизайн), вне зависимости от страны-производителя привлекателен во всем мире. Это ведет к стандартизации и сближению культур и, как следствие,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повседневность людей в разных частях мира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приобретает схожие черты. Однако сильно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отличается дизайн для развитых и развивающихся стран, так как направлен на удовлетворение разных потребностей, зависящих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от уровня жизни. Важной частью повседневности современного развитого мира является виртуальный мир, который наполняют «не-вещи»: дизайн приложений, сайтов,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программного обеспечения с каждым годом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делает активные шаги вперед, ориентирован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на простоту и удобство использования. </w:t>
      </w:r>
      <w:proofErr w:type="gram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Так-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стоит отметить, что аутентичный дизайн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большинства наполняющих нашу повседневность физических объектов уже состоялся,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 требует значительных изменений или обновления, однако стремление как потребителей, так и производителей (промышленников,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маркетологов и т.д.) к обновлению и преобразованию материального мира создает плодотворную почву для развития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квазидизайна</w:t>
      </w:r>
      <w:proofErr w:type="spellEnd"/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стайлинга</w:t>
      </w:r>
      <w:proofErr w:type="spellEnd"/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. Несмотря на это, современный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дизайн, подкрепляемый маркетингом, придерживается принципов устойчивого развития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экологичности, воспитывая потребителя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в этом направлении, что, очевидно, иллюстрирует противоречие современной дизайнерской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деятельности в контексте повседневной культуры. Перечисленные тезисы подтверждают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причастность дизайна к масскульту: он 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>обще интересен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, зачастую клиширован, увлекателен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для восприятия массовым реципиентом, широко распространен в повседневности. При этом,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массовый дизайн может быть интересен как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непритязательному рядовому пользователю,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так и образованному человеку, представителю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культурной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элиты. Мы можем сделать вывод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 том, что продукты дизайна, физические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и цифровые – это неотъемлемая часть повседневной культуры, которые помимо функциональных или материальных свойств, также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691" w:rsidRPr="00336540">
        <w:rPr>
          <w:rFonts w:ascii="Times New Roman" w:hAnsi="Times New Roman" w:cs="Times New Roman"/>
          <w:sz w:val="28"/>
          <w:szCs w:val="28"/>
          <w:lang w:val="ru-RU"/>
        </w:rPr>
        <w:t>обладают семиотической значимостью.</w:t>
      </w:r>
    </w:p>
    <w:p w14:paraId="5029DE1A" w14:textId="713A6C53" w:rsidR="00DE6691" w:rsidRPr="00336540" w:rsidRDefault="00DE6691" w:rsidP="00DE66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DEE6A9" w14:textId="21382DD8" w:rsidR="00DE6691" w:rsidRPr="00336540" w:rsidRDefault="00DE6691" w:rsidP="00DE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6540">
        <w:rPr>
          <w:rFonts w:ascii="Times New Roman" w:hAnsi="Times New Roman" w:cs="Times New Roman"/>
          <w:sz w:val="28"/>
          <w:szCs w:val="28"/>
          <w:lang w:val="ru-RU"/>
        </w:rPr>
        <w:t>Список</w:t>
      </w:r>
      <w:r w:rsid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6540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</w:p>
    <w:p w14:paraId="711CD95E" w14:textId="0E0AFB61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Вальденфельс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Б. Повседневность как плавильный тигль рациональности. Социо-Логос.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>. 1 // сост.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и общ. ред. В. В. Винокурова и В. Ф. Филиппова. </w:t>
      </w:r>
      <w:proofErr w:type="gram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Прогресс, 1991. С. 47.</w:t>
      </w:r>
    </w:p>
    <w:p w14:paraId="783999AB" w14:textId="65FCFBFD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>2. Козловский В.Д. Историко-культурные предпосылки создания ВХУТЕМАСА и Баухауза: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компаративный анализ. Москва: Вестник МГУКИ 2015 1 (63). С.220-224</w:t>
      </w:r>
    </w:p>
    <w:p w14:paraId="458B48D9" w14:textId="239C2000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>3. Кошман Л. В. Культура повседневности // Энциклопедия - Фонд знаний «Ломоносов» [Электронный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ресурс] URL: www.lomonosov-fund.ru (дата обращения 15. 01.2022г)</w:t>
      </w:r>
    </w:p>
    <w:p w14:paraId="3B52D9B0" w14:textId="08E87FF2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>4. Луков М. В. Обыденная культура и культура повседневности. Знание. Понимание. Умение. 2005. №3.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М.: Автономная некоммерческая организация высшего образования «Московский гуманитарный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университет», 2005.–232с.</w:t>
      </w:r>
    </w:p>
    <w:p w14:paraId="71976926" w14:textId="509D9917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Махлина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С.Т. Семиотика культуры повседневности. Санкт-Петербургский гос. ун-т культуры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и искусств. -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Алетейя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>, 2009. – 231 с.</w:t>
      </w:r>
    </w:p>
    <w:p w14:paraId="06CCB7ED" w14:textId="2A1C3444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Межуев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В.М. Культура и история: (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Пробл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>. культуры в филос.-ист. теории марксизма). М.: Политиздат,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1977. - 199 с.</w:t>
      </w:r>
    </w:p>
    <w:p w14:paraId="695AA708" w14:textId="0A18381B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Папанек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В. Дизайн для реального мира / Виктор </w:t>
      </w:r>
      <w:proofErr w:type="spellStart"/>
      <w:proofErr w:type="gram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Папанек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[пер. с англ. Г. Северской]. - </w:t>
      </w:r>
      <w:proofErr w:type="gram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Д. Аронов, 2008. - 414 с.</w:t>
      </w:r>
    </w:p>
    <w:p w14:paraId="155B12EC" w14:textId="03FCD085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Пендикова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И. Г. Дизайн в контексте диалектики элитарного и массового. Омск: ОНВ. 2010. №1 (85).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С. 101-104</w:t>
      </w:r>
    </w:p>
    <w:p w14:paraId="0D663216" w14:textId="47A16BE6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Пендикова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И. Г., Дмитриева Л. М., Феномен дизайна: философско-методологический анализ // ОНВ.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2009. №3 (78).</w:t>
      </w:r>
    </w:p>
    <w:p w14:paraId="249C2307" w14:textId="77777777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Флюссер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В. О положении вещей. Малая философия дизайна. М.: Ад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маргинем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пресс, 2016. – 160с.</w:t>
      </w:r>
    </w:p>
    <w:p w14:paraId="1BEF2180" w14:textId="3DF7BC6B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11. Чернова Марина Александровна, Клепиков Олег Евгеньевич </w:t>
      </w:r>
      <w:proofErr w:type="spellStart"/>
      <w:r w:rsidRPr="00C620EC">
        <w:rPr>
          <w:rFonts w:ascii="Times New Roman" w:hAnsi="Times New Roman" w:cs="Times New Roman"/>
          <w:sz w:val="28"/>
          <w:szCs w:val="28"/>
          <w:lang w:val="ru-RU"/>
        </w:rPr>
        <w:t>Нейромаркетинг</w:t>
      </w:r>
      <w:proofErr w:type="spellEnd"/>
      <w:r w:rsidRPr="00C620EC">
        <w:rPr>
          <w:rFonts w:ascii="Times New Roman" w:hAnsi="Times New Roman" w:cs="Times New Roman"/>
          <w:sz w:val="28"/>
          <w:szCs w:val="28"/>
          <w:lang w:val="ru-RU"/>
        </w:rPr>
        <w:t>: к вопросу об этической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составляющей. Национальный психологический журнал. 2012. №1 (7).</w:t>
      </w:r>
    </w:p>
    <w:p w14:paraId="3D4853F9" w14:textId="76D8ACFE" w:rsidR="00DE6691" w:rsidRPr="00C620EC" w:rsidRDefault="00DE6691" w:rsidP="00C620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EC">
        <w:rPr>
          <w:rFonts w:ascii="Times New Roman" w:hAnsi="Times New Roman" w:cs="Times New Roman"/>
          <w:sz w:val="28"/>
          <w:szCs w:val="28"/>
          <w:lang w:val="ru-RU"/>
        </w:rPr>
        <w:t>12. Чиркова Н. В. Вещи и предметы быта в контексте культуры повседневности // Научно-методический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электронный журнал «Концепт». – 2016. – № S14. – 0,3 п. л. –</w:t>
      </w:r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proofErr w:type="gramStart"/>
      <w:r w:rsidRPr="00C620EC">
        <w:rPr>
          <w:rFonts w:ascii="Times New Roman" w:hAnsi="Times New Roman" w:cs="Times New Roman"/>
          <w:sz w:val="28"/>
          <w:szCs w:val="28"/>
          <w:lang w:val="ru-RU"/>
        </w:rPr>
        <w:t>URL:http://e-</w:t>
      </w:r>
      <w:proofErr w:type="gramEnd"/>
      <w:r w:rsidR="00C620EC" w:rsidRPr="00C62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0EC">
        <w:rPr>
          <w:rFonts w:ascii="Times New Roman" w:hAnsi="Times New Roman" w:cs="Times New Roman"/>
          <w:sz w:val="28"/>
          <w:szCs w:val="28"/>
          <w:lang w:val="ru-RU"/>
        </w:rPr>
        <w:t>koncept.ru/2016/76172.htm. (дата обращения 13. 02.2022г)</w:t>
      </w:r>
    </w:p>
    <w:sectPr w:rsidR="00DE6691" w:rsidRPr="00C6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98"/>
    <w:rsid w:val="00075D73"/>
    <w:rsid w:val="00082BA8"/>
    <w:rsid w:val="0008633C"/>
    <w:rsid w:val="000C70E1"/>
    <w:rsid w:val="00336540"/>
    <w:rsid w:val="00415E6B"/>
    <w:rsid w:val="00444530"/>
    <w:rsid w:val="005534AB"/>
    <w:rsid w:val="006A1798"/>
    <w:rsid w:val="006E320D"/>
    <w:rsid w:val="009A1FF9"/>
    <w:rsid w:val="00C620EC"/>
    <w:rsid w:val="00DE6691"/>
    <w:rsid w:val="00F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ED3"/>
  <w15:chartTrackingRefBased/>
  <w15:docId w15:val="{4B608242-755E-4A37-A052-01A35785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0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49EC-2902-4899-A282-E983F5F3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2023-11-06T03:17:00Z</dcterms:created>
  <dcterms:modified xsi:type="dcterms:W3CDTF">2023-11-06T05:30:00Z</dcterms:modified>
</cp:coreProperties>
</file>